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sz w:val="32"/>
          <w:szCs w:val="32"/>
        </w:rPr>
      </w:pPr>
      <w:r>
        <w:rPr>
          <w:rFonts w:hint="eastAsia" w:ascii="楷体_GB2312" w:hAnsi="仿宋" w:eastAsia="楷体_GB2312" w:cs="楷体_GB2312"/>
          <w:sz w:val="32"/>
          <w:szCs w:val="32"/>
        </w:rPr>
        <w:t>附件：</w:t>
      </w:r>
    </w:p>
    <w:p>
      <w:pPr>
        <w:pStyle w:val="3"/>
        <w:spacing w:line="240" w:lineRule="auto"/>
        <w:jc w:val="center"/>
        <w:rPr>
          <w:rFonts w:ascii="黑体" w:hAnsi="黑体" w:eastAsia="黑体" w:cs="黑体"/>
        </w:rPr>
      </w:pPr>
      <w:r>
        <w:rPr>
          <w:rFonts w:hint="eastAsia" w:ascii="黑体" w:hAnsi="黑体" w:eastAsia="黑体" w:cs="黑体"/>
        </w:rPr>
        <w:t>景德镇市民政局2020年部门预算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spacing w:line="660" w:lineRule="exact"/>
        <w:ind w:firstLine="640" w:firstLineChars="200"/>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景德镇市民政局概况</w:t>
      </w:r>
    </w:p>
    <w:p>
      <w:pPr>
        <w:spacing w:line="660" w:lineRule="exact"/>
        <w:ind w:firstLine="640" w:firstLineChars="2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spacing w:line="660" w:lineRule="exact"/>
        <w:ind w:firstLine="640" w:firstLineChars="2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spacing w:line="660" w:lineRule="exact"/>
        <w:ind w:firstLine="640" w:firstLineChars="200"/>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景德镇市民政局2020年部门预算情况说明</w:t>
      </w:r>
    </w:p>
    <w:p>
      <w:pPr>
        <w:spacing w:line="660" w:lineRule="exact"/>
        <w:ind w:firstLine="960" w:firstLineChars="3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一、2020年部门预算收支情况说明</w:t>
      </w:r>
    </w:p>
    <w:p>
      <w:pPr>
        <w:spacing w:line="660" w:lineRule="exact"/>
        <w:ind w:firstLine="960" w:firstLineChars="3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二、2020年“三公”经费预算情况说明</w:t>
      </w:r>
    </w:p>
    <w:p>
      <w:pPr>
        <w:spacing w:line="660" w:lineRule="exact"/>
        <w:ind w:firstLine="640" w:firstLineChars="200"/>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民政局2020年部门预算表</w:t>
      </w:r>
    </w:p>
    <w:p>
      <w:pPr>
        <w:spacing w:line="660" w:lineRule="exact"/>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spacing w:line="660" w:lineRule="exact"/>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spacing w:line="660" w:lineRule="exact"/>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spacing w:line="660" w:lineRule="exact"/>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spacing w:line="660" w:lineRule="exact"/>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spacing w:line="660" w:lineRule="exact"/>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spacing w:line="660" w:lineRule="exact"/>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spacing w:line="660" w:lineRule="exact"/>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spacing w:line="660" w:lineRule="exact"/>
        <w:rPr>
          <w:rFonts w:ascii="黑体" w:hAnsi="宋体" w:eastAsia="黑体" w:cs="黑体"/>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spacing w:line="660" w:lineRule="exact"/>
        <w:rPr>
          <w:rFonts w:ascii="黑体" w:hAnsi="宋体" w:eastAsia="黑体" w:cs="黑体"/>
          <w:sz w:val="32"/>
          <w:szCs w:val="32"/>
        </w:rPr>
      </w:pPr>
    </w:p>
    <w:p>
      <w:pPr>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景德镇市民政局概况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第一条  根据《省委办公厅、省政府办公厅关于印发景德镇市市县机构改革方案的通知》（赣厅字〔2018〕96 号）、《市委办公室、市政府办公室关于印发&lt;景德镇市机构改革实施方案&gt;的通知》</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（景办发〔2019〕2 号）精神，制定本规定。</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第二条 市民政局为市政府工作部门，正县级。</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第三条 市民政局贯彻落实党中央、省委关于民政工作的方针政策和决策部署，在履行职责过程中坚持和加强党对民政工作的集中统一领导。主要职责是：</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（一）拟订全市民政事业发展规划和政策，草拟有关地方性政策法规规章草案，并组织实施和监督检查；指导民政工作的改革与发展。</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（二）拟订全市社会团体、社会服务机构等社会组织登记和监督管理制度并组织实施，依法对社会组织进行登记管理和执法监督。参与指导全市社会组织党建工作。</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三）拟订全市社会救助政策、标准，统筹社会救助体系建设，组织实施全市城乡居民最低生活保障、特困人员救助供养、临时救助、生活无着流浪乞讨人员救助工作。牵头负责农村脱贫攻坚兜底保障和城镇贫困群众脱贫解困工作。</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（四）拟订全市城乡基层群众自治建设和社区治理政策，指导城乡社区治理体系和治理能力建设，提出加强和改进城乡基层政权建设的建议，推动基层民主政治建设。</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五）拟订全市行政区划、行政区域界限、地名管理的政策、标准。负责县（市、区）、乡（镇）行政区域的设立、命名、变更和县（市、区）、乡(镇)人民政府驻地迁移审核报批工作。加强地名规范管理，提供地名公共服务；组织设置和管理地名标志，推行、公布标准地名的使用。负责全市标准地名资料的编辑和审定， 收集、整理和鉴定地名档案。指导和承办县乡级行政区域界线的勘定和管理。承担重要自然地理实体命名、更名有关工作。</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（六）拟订全市婚姻管理政策并组织实施，推进婚俗改革。</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（七）拟订全市殡葬管理政策、服务规范并组织实施，推进殡葬改革。</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（八）统筹推进、督促指导、监督管理养老服务工作，拟订全市养老服务体系建设规划、政策、标准并组织实施，承担老年人福利和特殊困难老年人救助工作。</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（九）拟订全市残疾人权益保护政策，统筹推进残疾人福利制度建设和康复辅助器具产业发展。</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（十）拟订全市儿童福利、孤弃儿童保障、儿童收养、儿童救助保护政策、标准，健全农村留守儿童关爱服务体系和困境儿童保障制度。</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（十一）拟订全市促进慈善事业发展政策，指导社会捐助工作,负责福利彩票管理工作。</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（十二）拟订全市社会工作、志愿服务政策和标准，会同有关部门推进社会工作人才队伍建设和志愿者队伍建设。</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（十三）负责民政系统安全生产监督管理工作。指导养老服务、特困供养、儿童福利、未成年人保护、救助管理、殡葬服务等民政服务机构的安全生产监督管理工作。</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（十四）承办市委、市政府交办的其他任务。</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五）职能转变。民政局应强化基本民生保障职能，为困难群众、孤老孤残孤儿等特殊群体提供基本社会服务，促进资源向薄弱地区、领域、环节倾斜。积极培育社会组织、社会工作者等多元参与主体，推动搭建基层社会治理和社区公共服务平台。</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六）与卫生健康委员会的有关职责分工。民政局负责统筹推进、督促指导、监督管理养老服务工作，拟订养老服务体系建设规划、政策、标准并组织实施，承担老年人福利和特殊困难老年人救助工作。卫生健康委员会负责拟订应对人口老龄化、医养结合政策措施，综合协调、督促指导、组织推进老龄事业发展， 承担老年疾病防治、老年人医疗照护、老年人心理健康与关怀服务等老年健康工作。</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景德镇市民政局共有预算单位9个，包括局本级和所属8个二级预算单位。编制数为128人，其中行政编制20人、参照公务员法管理事业编制30人，全额补助事业编制44人、部分补助事业编制34人；实有人数217人，其中在职人数为114人，包括行政人员21人、参照公务员法管理事业人员27人、全额补助事业人员34人、部分补助事业编人员32人；离休人员2人；退休人员101人。</w:t>
      </w:r>
    </w:p>
    <w:p>
      <w:pPr>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民政局2020年部门预算情况说明</w:t>
      </w:r>
    </w:p>
    <w:p>
      <w:pPr>
        <w:ind w:firstLine="643" w:firstLineChars="200"/>
        <w:rPr>
          <w:rFonts w:ascii="仿宋_GB2312" w:hAnsi="宋体" w:eastAsia="仿宋_GB2312" w:cs="仿宋_GB2312"/>
          <w:b/>
          <w:bCs/>
          <w:sz w:val="32"/>
          <w:szCs w:val="32"/>
        </w:rPr>
      </w:pPr>
      <w:r>
        <w:rPr>
          <w:rFonts w:hint="eastAsia" w:ascii="仿宋_GB2312" w:hAnsi="宋体" w:eastAsia="仿宋_GB2312" w:cs="仿宋_GB2312"/>
          <w:b/>
          <w:bCs/>
          <w:sz w:val="32"/>
          <w:szCs w:val="32"/>
        </w:rPr>
        <w:t>一、2020年部门预算收支情况说明</w:t>
      </w:r>
    </w:p>
    <w:p>
      <w:pPr>
        <w:spacing w:line="560" w:lineRule="exact"/>
        <w:ind w:firstLine="562" w:firstLineChars="200"/>
        <w:rPr>
          <w:rFonts w:ascii="楷体_GB2312" w:hAnsi="楷体_GB2312" w:eastAsia="楷体_GB2312" w:cs="楷体_GB2312"/>
          <w:b/>
          <w:bCs/>
          <w:sz w:val="28"/>
          <w:szCs w:val="28"/>
        </w:rPr>
      </w:pPr>
      <w:r>
        <w:rPr>
          <w:rFonts w:hint="eastAsia" w:ascii="楷体_GB2312" w:hAnsi="楷体_GB2312" w:eastAsia="楷体_GB2312" w:cs="楷体_GB2312"/>
          <w:b/>
          <w:bCs/>
          <w:sz w:val="28"/>
          <w:szCs w:val="28"/>
        </w:rPr>
        <w:t>（一）收入预算情况</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2020年收入预算总额3,252.84万元，与上年预算相比减少1783.25万元，主要原因为2019年机构改革，市军供站、市烈管所、市军休所划转至市退役军人事务局，预算转出，按照收入来源划分:</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1、当年公共财政拨款收入2,236.53万元，占收入预算总额的68.76%。</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2、上年结转1,016.31万元，占收入预算总额的31.24%。</w:t>
      </w:r>
    </w:p>
    <w:p>
      <w:pPr>
        <w:spacing w:line="560" w:lineRule="exact"/>
        <w:ind w:firstLine="562" w:firstLineChars="200"/>
        <w:rPr>
          <w:rFonts w:ascii="楷体_GB2312" w:hAnsi="楷体_GB2312" w:eastAsia="楷体_GB2312" w:cs="楷体_GB2312"/>
          <w:b/>
          <w:bCs/>
          <w:sz w:val="28"/>
          <w:szCs w:val="28"/>
        </w:rPr>
      </w:pPr>
      <w:r>
        <w:rPr>
          <w:rFonts w:hint="eastAsia" w:ascii="楷体_GB2312" w:hAnsi="楷体_GB2312" w:eastAsia="楷体_GB2312" w:cs="楷体_GB2312"/>
          <w:b/>
          <w:bCs/>
          <w:sz w:val="28"/>
          <w:szCs w:val="28"/>
        </w:rPr>
        <w:t>（二）支出预算情况</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2020年支出预算总额3,252.84万元，与上年预算相比减少1783.25万元，主要原因为2019年机构改革，市军供站、市烈管所、市军休所划转至市退役军人事务局，预算转出</w:t>
      </w:r>
      <w:r>
        <w:rPr>
          <w:rFonts w:hint="eastAsia" w:ascii="仿宋_GB2312" w:hAnsi="宋体" w:eastAsia="仿宋_GB2312" w:cs="仿宋_GB2312"/>
          <w:sz w:val="32"/>
          <w:szCs w:val="32"/>
          <w:lang w:eastAsia="zh-CN"/>
        </w:rPr>
        <w:t>。</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按支出项目类别划分:基本支出2,164.86万元，占支出预算总额的66.55%，其中:工资福利支出1,269.31万元，商品和服务支出775.50万元，对个人和家庭的补助76.55万元，其他资本性支出43.50万元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项目支出1,087.98万元，占支出预算总额的33.45%。</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按支出功能</w:t>
      </w:r>
      <w:bookmarkStart w:id="0" w:name="_GoBack"/>
      <w:bookmarkEnd w:id="0"/>
      <w:r>
        <w:rPr>
          <w:rFonts w:hint="eastAsia" w:ascii="仿宋_GB2312" w:hAnsi="宋体" w:eastAsia="仿宋_GB2312" w:cs="仿宋_GB2312"/>
          <w:sz w:val="32"/>
          <w:szCs w:val="32"/>
        </w:rPr>
        <w:t>科目划分：社会保障和就业支出2054.16万，占支出预算总额的63.15%；卫生健康支出119.33万元，占支出预算总额的3.67%；住房保障支出63.04万元，占支出预算总额的1.94%。</w:t>
      </w:r>
    </w:p>
    <w:p>
      <w:pPr>
        <w:spacing w:line="560" w:lineRule="exact"/>
        <w:ind w:firstLine="640" w:firstLineChars="200"/>
        <w:rPr>
          <w:rFonts w:hint="eastAsia" w:ascii="仿宋_GB2312" w:hAnsi="楷体_GB2312" w:eastAsia="仿宋_GB2312" w:cs="楷体_GB2312"/>
          <w:bCs/>
          <w:sz w:val="32"/>
          <w:szCs w:val="32"/>
        </w:rPr>
      </w:pPr>
      <w:r>
        <w:rPr>
          <w:rFonts w:hint="eastAsia" w:ascii="仿宋_GB2312" w:hAnsi="楷体_GB2312" w:eastAsia="仿宋_GB2312" w:cs="楷体_GB2312"/>
          <w:bCs/>
          <w:sz w:val="32"/>
          <w:szCs w:val="32"/>
        </w:rPr>
        <w:t>按支出经济分类划分：工资福利支出1765.63万元，</w:t>
      </w:r>
      <w:r>
        <w:rPr>
          <w:rFonts w:hint="eastAsia" w:ascii="仿宋_GB2312" w:hAnsi="宋体" w:eastAsia="仿宋_GB2312" w:cs="仿宋_GB2312"/>
          <w:sz w:val="32"/>
          <w:szCs w:val="32"/>
        </w:rPr>
        <w:t>占支出预算总额的54.28%；商品和服务支出425.27万元，占支出预算总额的13.07%；对个人和其他家庭的补助76.55，占支出预算总额的2.35%；</w:t>
      </w:r>
    </w:p>
    <w:p>
      <w:pPr>
        <w:spacing w:line="560" w:lineRule="exact"/>
        <w:ind w:firstLine="562" w:firstLineChars="200"/>
        <w:rPr>
          <w:rFonts w:ascii="楷体_GB2312" w:hAnsi="楷体_GB2312" w:eastAsia="楷体_GB2312" w:cs="楷体_GB2312"/>
          <w:b/>
          <w:bCs/>
          <w:sz w:val="28"/>
          <w:szCs w:val="28"/>
        </w:rPr>
      </w:pPr>
      <w:r>
        <w:rPr>
          <w:rFonts w:hint="eastAsia" w:ascii="楷体_GB2312" w:hAnsi="楷体_GB2312" w:eastAsia="楷体_GB2312" w:cs="楷体_GB2312"/>
          <w:b/>
          <w:bCs/>
          <w:sz w:val="28"/>
          <w:szCs w:val="28"/>
        </w:rPr>
        <w:t>（三）2020年公共财政拨款支出预算情况</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2020年公共财政拨款支出预算为2,236.53万元，较上年预算安排减少407.79万元，主要原因：2019年机构改革，市军供站、市烈管所、市军休所划转至市退役军人事务局，预算转出，占支出预算总额的68.76%。</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按支出功能科目分类:</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社会保障和就业支出2,054.16万元，占公共财政拨款支出预算的91.85%。</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卫生健康支出119.33万元，占公共财政拨款支出预算的5.34%。</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住房保障支出63.04万元，占公共财政拨款支出预算的2.82%。</w:t>
      </w:r>
    </w:p>
    <w:p>
      <w:pPr>
        <w:spacing w:line="560" w:lineRule="exact"/>
        <w:ind w:firstLine="562" w:firstLineChars="200"/>
        <w:rPr>
          <w:rFonts w:ascii="楷体_GB2312" w:hAnsi="楷体_GB2312" w:eastAsia="楷体_GB2312" w:cs="楷体_GB2312"/>
          <w:b/>
          <w:bCs/>
          <w:sz w:val="28"/>
          <w:szCs w:val="28"/>
        </w:rPr>
      </w:pPr>
      <w:r>
        <w:rPr>
          <w:rFonts w:hint="eastAsia" w:ascii="楷体_GB2312" w:hAnsi="楷体_GB2312" w:eastAsia="楷体_GB2312" w:cs="楷体_GB2312"/>
          <w:b/>
          <w:bCs/>
          <w:sz w:val="28"/>
          <w:szCs w:val="28"/>
        </w:rPr>
        <w:t>（四）政府采购预算</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2020年政府采购预算为352.42万元，与上年预算对比减少了18.68万元，主要原因为2019年机构改革，市军供站、市烈管所、市军休所划转至市退役军人事务局，预算转出，其中:部门集中采购349.42万元、部门分散采购3.00万元；政府购买服务96.50万元。</w:t>
      </w:r>
    </w:p>
    <w:p>
      <w:pPr>
        <w:spacing w:line="560" w:lineRule="exact"/>
        <w:ind w:firstLine="562" w:firstLineChars="200"/>
        <w:rPr>
          <w:rFonts w:ascii="楷体_GB2312" w:hAnsi="楷体_GB2312" w:eastAsia="楷体_GB2312" w:cs="楷体_GB2312"/>
          <w:b/>
          <w:bCs/>
          <w:sz w:val="28"/>
          <w:szCs w:val="28"/>
        </w:rPr>
      </w:pPr>
      <w:r>
        <w:rPr>
          <w:rFonts w:hint="eastAsia" w:ascii="楷体_GB2312" w:hAnsi="楷体_GB2312" w:eastAsia="楷体_GB2312" w:cs="楷体_GB2312"/>
          <w:b/>
          <w:bCs/>
          <w:sz w:val="28"/>
          <w:szCs w:val="28"/>
        </w:rPr>
        <w:t>（五）政府基金收支情况</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无政府基金收支。</w:t>
      </w:r>
    </w:p>
    <w:p>
      <w:pPr>
        <w:spacing w:line="560" w:lineRule="exact"/>
        <w:ind w:firstLine="562" w:firstLineChars="200"/>
        <w:rPr>
          <w:rFonts w:ascii="楷体_GB2312" w:hAnsi="楷体_GB2312" w:eastAsia="楷体_GB2312" w:cs="楷体_GB2312"/>
          <w:b/>
          <w:bCs/>
          <w:sz w:val="28"/>
          <w:szCs w:val="28"/>
        </w:rPr>
      </w:pPr>
      <w:r>
        <w:rPr>
          <w:rFonts w:hint="eastAsia" w:ascii="楷体_GB2312" w:hAnsi="楷体_GB2312" w:eastAsia="楷体_GB2312" w:cs="楷体_GB2312"/>
          <w:b/>
          <w:bCs/>
          <w:sz w:val="28"/>
          <w:szCs w:val="28"/>
        </w:rPr>
        <w:t>（六）“三公”经费支出预算</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2020年安排三公经费支出预算70.36万元，其中:因公出国(境)费用8.00万元、比上年增加8万元，主要原因：增加因公出国（境）费用预算。</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公务接待费17.00万元，比上年减少5.3万元，主要原因：机构改革单位预算划出。</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公务用车购置及运行费45.36万元，比上年增加15万元，主要原因：下属单位殡葬处增加殡葬业务用车，费用增减。</w:t>
      </w:r>
    </w:p>
    <w:p>
      <w:pPr>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景德镇市民政局2020年部门预算表</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（详见附表）</w:t>
      </w:r>
    </w:p>
    <w:p>
      <w:pPr>
        <w:rPr>
          <w:rFonts w:ascii="仿宋_GB2312" w:hAnsi="宋体" w:eastAsia="仿宋_GB2312" w:cs="仿宋_GB2312"/>
          <w:sz w:val="32"/>
          <w:szCs w:val="32"/>
          <w:shd w:val="clear" w:color="FFFFFF" w:fill="D9D9D9"/>
        </w:rPr>
      </w:pPr>
    </w:p>
    <w:p>
      <w:pPr>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ascii="仿宋_GB2312" w:eastAsia="仿宋_GB2312"/>
          <w:b/>
          <w:bCs/>
          <w:color w:val="000000"/>
          <w:sz w:val="32"/>
          <w:szCs w:val="30"/>
        </w:rPr>
      </w:pPr>
      <w:r>
        <w:rPr>
          <w:rFonts w:hint="eastAsia" w:ascii="仿宋_GB2312" w:eastAsia="仿宋_GB2312"/>
          <w:b/>
          <w:bCs/>
          <w:color w:val="000000"/>
          <w:sz w:val="32"/>
          <w:szCs w:val="30"/>
        </w:rPr>
        <w:t>一、收入科目</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各部门结合实际进行解释。</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（一）财政拨款：指市级财政当年拨付的资金。</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（七）用事业基金弥补收支差额：填列事业单位用事业基金弥补2020年收支差额的数额。</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（八）上年结转和结余：填列2019年全部结转和结余的资金数，包括当年结转结余资金和历年滚存结转结余资金。</w:t>
      </w:r>
    </w:p>
    <w:p>
      <w:pPr>
        <w:widowControl/>
        <w:spacing w:line="600" w:lineRule="exact"/>
        <w:ind w:firstLine="640"/>
        <w:jc w:val="left"/>
        <w:rPr>
          <w:rFonts w:ascii="仿宋_GB2312" w:eastAsia="仿宋_GB2312"/>
          <w:b/>
          <w:bCs/>
          <w:color w:val="000000"/>
          <w:sz w:val="32"/>
          <w:szCs w:val="30"/>
        </w:rPr>
      </w:pPr>
      <w:r>
        <w:rPr>
          <w:rFonts w:hint="eastAsia" w:ascii="仿宋_GB2312" w:eastAsia="仿宋_GB2312"/>
          <w:b/>
          <w:bCs/>
          <w:color w:val="000000"/>
          <w:sz w:val="32"/>
          <w:szCs w:val="30"/>
        </w:rPr>
        <w:t>二、支出科目</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对部门预算中涉及的支出功能分类科目（明细到项级），结合部门实际，参照《2020年政府收支分类科目》的规范说明进行解释。</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（一）社会保障和就业支出（类）民政管理事务（款）行政运行（项）：指民政局行政单位及参照公务员法管理的事业单位，用于保障机构正常运行、开展日常工作的基本支出。</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（二）社会保障和就业支出（类）民政管理事务（款）一般行政管理事务（项）：指未单独设置项级科目的的其他项目支出。</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（三）社会保障和就业支出（类）民政管理事务（款）行政区划和地名管理（项）：反应行政区划界限勘定、维护以及行政区划和地名管理支出。</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四）社会保障和就业支出（类）民政管理事务（款）其他民政管理事务支出（项）：反应民政部门接待来访、法制建设、政策宣传方面的支出以及开展优抚安置、救灾减灾、社会救助、社会福利、社会事务、信息化建设等专项业务的支出。</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（五）社会保障和就业支出（类）行政事业单位离退休（款）机关事业单位基本养老保险缴费支出（项）：反映机关事业单位实施养老保险制度由单位缴纳的基本养老保险支出。</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（六）社会保障和就业支出（类） 社会福利（款）儿童福利（项）：反应对儿童提供福利服务方面的支出。</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（七）社会保障和就业支出（类） 社会福利（款）殡葬（项）：反应财政对民政部门的殡仪事业单位的补助支出。</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（八）社会保障和就业支出（类） 社会福利（款）社会福利事业单位（项）：反应社会福利事业单位的支出。</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（九）社会保障和就业支出（类） 社会福利（款）其他社会福利支出（项）：反应除上述外其他的社会福利方面的支出。</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（十）社会保障和就业支出（类） 临时救助（款）临时救助支出（项）：反应城乡生活困难居民的临时救助支出。</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（十一）社会保障和就业支出（类） 临时救助（款） 流浪乞讨人员救助支出（项）：反应用于生活无着的流浪乞讨人员的救助支出和救助管理机构的运转支出。</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（十二）住房保障支出（类） 住房改革支出（款）住房公积金（项）：住房公积金的支出。</w:t>
      </w:r>
    </w:p>
    <w:p>
      <w:pPr>
        <w:widowControl/>
        <w:spacing w:line="600" w:lineRule="exact"/>
        <w:ind w:firstLine="640"/>
        <w:jc w:val="left"/>
        <w:rPr>
          <w:rFonts w:ascii="仿宋_GB2312" w:eastAsia="仿宋_GB2312"/>
          <w:color w:val="000000"/>
          <w:sz w:val="32"/>
          <w:szCs w:val="30"/>
        </w:rPr>
      </w:pPr>
    </w:p>
    <w:p>
      <w:pPr>
        <w:widowControl/>
        <w:spacing w:line="600" w:lineRule="exact"/>
        <w:ind w:firstLine="640"/>
        <w:jc w:val="left"/>
        <w:rPr>
          <w:rFonts w:ascii="仿宋_GB2312" w:eastAsia="仿宋_GB2312"/>
          <w:color w:val="000000"/>
          <w:sz w:val="32"/>
          <w:szCs w:val="30"/>
        </w:rPr>
      </w:pPr>
    </w:p>
    <w:p>
      <w:pPr>
        <w:widowControl/>
        <w:spacing w:line="600" w:lineRule="exact"/>
        <w:ind w:firstLine="640"/>
        <w:jc w:val="left"/>
        <w:rPr>
          <w:rFonts w:ascii="仿宋_GB2312" w:eastAsia="仿宋_GB2312"/>
          <w:color w:val="000000"/>
          <w:sz w:val="32"/>
          <w:szCs w:val="3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Fonts w:cs="Times New Roman"/>
      </w:rPr>
    </w:pPr>
    <w:r>
      <w:rPr>
        <w:rStyle w:val="9"/>
      </w:rPr>
      <w:fldChar w:fldCharType="begin"/>
    </w:r>
    <w:r>
      <w:rPr>
        <w:rStyle w:val="9"/>
      </w:rPr>
      <w:instrText xml:space="preserve">PAGE  </w:instrText>
    </w:r>
    <w:r>
      <w:rPr>
        <w:rStyle w:val="9"/>
      </w:rPr>
      <w:fldChar w:fldCharType="separate"/>
    </w:r>
    <w:r>
      <w:rPr>
        <w:rStyle w:val="9"/>
      </w:rPr>
      <w:t>5</w:t>
    </w:r>
    <w:r>
      <w:rPr>
        <w:rStyle w:val="9"/>
      </w:rPr>
      <w:fldChar w:fldCharType="end"/>
    </w:r>
  </w:p>
  <w:p>
    <w:pPr>
      <w:pStyle w:val="5"/>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2"/>
  </w:compat>
  <w:rsids>
    <w:rsidRoot w:val="19076E1D"/>
    <w:rsid w:val="000429DB"/>
    <w:rsid w:val="00066060"/>
    <w:rsid w:val="00601FB6"/>
    <w:rsid w:val="006E6FDD"/>
    <w:rsid w:val="008110CC"/>
    <w:rsid w:val="008565DF"/>
    <w:rsid w:val="008B71F9"/>
    <w:rsid w:val="00C04C9A"/>
    <w:rsid w:val="00CB427A"/>
    <w:rsid w:val="00DA26F4"/>
    <w:rsid w:val="00F500B9"/>
    <w:rsid w:val="01992CBB"/>
    <w:rsid w:val="022502CD"/>
    <w:rsid w:val="05EB1609"/>
    <w:rsid w:val="074569A4"/>
    <w:rsid w:val="08EE0B31"/>
    <w:rsid w:val="0A326819"/>
    <w:rsid w:val="0CBF216E"/>
    <w:rsid w:val="0FCB58D0"/>
    <w:rsid w:val="11427CB1"/>
    <w:rsid w:val="139E3D52"/>
    <w:rsid w:val="162B4B72"/>
    <w:rsid w:val="18AC060B"/>
    <w:rsid w:val="19076E1D"/>
    <w:rsid w:val="1EBD751D"/>
    <w:rsid w:val="1F117155"/>
    <w:rsid w:val="204B45CE"/>
    <w:rsid w:val="25705B71"/>
    <w:rsid w:val="27385737"/>
    <w:rsid w:val="2D4F2EA5"/>
    <w:rsid w:val="2DBB222D"/>
    <w:rsid w:val="31D40AAE"/>
    <w:rsid w:val="3847477C"/>
    <w:rsid w:val="3BD871B8"/>
    <w:rsid w:val="3CF55A87"/>
    <w:rsid w:val="429A727D"/>
    <w:rsid w:val="4C0B7195"/>
    <w:rsid w:val="4D3B293C"/>
    <w:rsid w:val="51AB1146"/>
    <w:rsid w:val="51B40312"/>
    <w:rsid w:val="57CC144D"/>
    <w:rsid w:val="61F32950"/>
    <w:rsid w:val="62B20F12"/>
    <w:rsid w:val="641E7445"/>
    <w:rsid w:val="6AF858A4"/>
    <w:rsid w:val="71452C49"/>
    <w:rsid w:val="73224148"/>
    <w:rsid w:val="776E35B0"/>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10"/>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line="413" w:lineRule="auto"/>
      <w:outlineLvl w:val="2"/>
    </w:pPr>
    <w:rPr>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宋体" w:hAnsi="宋体" w:cs="宋体"/>
      <w:sz w:val="30"/>
      <w:szCs w:val="30"/>
      <w:lang w:val="zh-CN" w:bidi="zh-CN"/>
    </w:rPr>
  </w:style>
  <w:style w:type="paragraph" w:styleId="5">
    <w:name w:val="footer"/>
    <w:basedOn w:val="1"/>
    <w:link w:val="11"/>
    <w:qFormat/>
    <w:uiPriority w:val="99"/>
    <w:pPr>
      <w:tabs>
        <w:tab w:val="center" w:pos="4153"/>
        <w:tab w:val="right" w:pos="8306"/>
      </w:tabs>
      <w:snapToGrid w:val="0"/>
      <w:jc w:val="left"/>
    </w:pPr>
    <w:rPr>
      <w:sz w:val="18"/>
      <w:szCs w:val="18"/>
    </w:rPr>
  </w:style>
  <w:style w:type="paragraph" w:styleId="6">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99"/>
  </w:style>
  <w:style w:type="character" w:customStyle="1" w:styleId="10">
    <w:name w:val="标题 2 Char"/>
    <w:basedOn w:val="8"/>
    <w:link w:val="2"/>
    <w:semiHidden/>
    <w:qFormat/>
    <w:uiPriority w:val="9"/>
    <w:rPr>
      <w:rFonts w:asciiTheme="majorHAnsi" w:hAnsiTheme="majorHAnsi" w:eastAsiaTheme="majorEastAsia" w:cstheme="majorBidi"/>
      <w:b/>
      <w:bCs/>
      <w:sz w:val="32"/>
      <w:szCs w:val="32"/>
    </w:rPr>
  </w:style>
  <w:style w:type="character" w:customStyle="1" w:styleId="11">
    <w:name w:val="页脚 Char"/>
    <w:basedOn w:val="8"/>
    <w:link w:val="5"/>
    <w:semiHidden/>
    <w:qFormat/>
    <w:uiPriority w:val="99"/>
    <w:rPr>
      <w:rFonts w:cs="Calibri"/>
      <w:sz w:val="18"/>
      <w:szCs w:val="18"/>
    </w:rPr>
  </w:style>
  <w:style w:type="character" w:customStyle="1" w:styleId="12">
    <w:name w:val="页眉 Char"/>
    <w:basedOn w:val="8"/>
    <w:link w:val="6"/>
    <w:semiHidden/>
    <w:qFormat/>
    <w:uiPriority w:val="99"/>
    <w:rPr>
      <w:rFonts w:ascii="Calibri" w:hAnsi="Calibri" w:cs="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658</Words>
  <Characters>3757</Characters>
  <Lines>31</Lines>
  <Paragraphs>8</Paragraphs>
  <TotalTime>76</TotalTime>
  <ScaleCrop>false</ScaleCrop>
  <LinksUpToDate>false</LinksUpToDate>
  <CharactersWithSpaces>4407</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小楚</cp:lastModifiedBy>
  <dcterms:modified xsi:type="dcterms:W3CDTF">2020-06-19T05:12:57Z</dcterms:modified>
  <dc:title>附件2：2018年市级部门预算说明和预算公开表</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